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1066">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社会组织管理香港高级研修班</w:t>
      </w:r>
    </w:p>
    <w:p w14:paraId="111851B0">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之</w:t>
      </w:r>
      <w:r>
        <w:rPr>
          <w:rFonts w:hint="eastAsia" w:ascii="黑体" w:hAnsi="黑体" w:eastAsia="黑体" w:cs="黑体"/>
          <w:sz w:val="32"/>
          <w:szCs w:val="32"/>
        </w:rPr>
        <w:t>慈善机构发展</w:t>
      </w:r>
      <w:r>
        <w:rPr>
          <w:rFonts w:hint="eastAsia" w:ascii="黑体" w:hAnsi="黑体" w:eastAsia="黑体" w:cs="黑体"/>
          <w:sz w:val="32"/>
          <w:szCs w:val="32"/>
          <w:lang w:eastAsia="zh-CN"/>
        </w:rPr>
        <w:t>与</w:t>
      </w:r>
      <w:r>
        <w:rPr>
          <w:rFonts w:hint="eastAsia" w:ascii="黑体" w:hAnsi="黑体" w:eastAsia="黑体" w:cs="黑体"/>
          <w:sz w:val="32"/>
          <w:szCs w:val="32"/>
        </w:rPr>
        <w:t>管理</w:t>
      </w:r>
      <w:r>
        <w:rPr>
          <w:rFonts w:hint="eastAsia" w:ascii="黑体" w:hAnsi="黑体" w:eastAsia="黑体" w:cs="黑体"/>
          <w:sz w:val="32"/>
          <w:szCs w:val="32"/>
          <w:lang w:eastAsia="zh-CN"/>
        </w:rPr>
        <w:t>学习</w:t>
      </w:r>
      <w:bookmarkEnd w:id="0"/>
    </w:p>
    <w:p w14:paraId="22293F56">
      <w:pPr>
        <w:spacing w:line="360" w:lineRule="auto"/>
        <w:ind w:firstLine="480" w:firstLineChars="200"/>
        <w:jc w:val="distribute"/>
        <w:rPr>
          <w:rFonts w:hint="eastAsia" w:ascii="宋体" w:hAnsi="宋体" w:eastAsia="宋体"/>
          <w:sz w:val="24"/>
          <w:szCs w:val="24"/>
          <w:lang w:eastAsia="zh-CN"/>
        </w:rPr>
      </w:pPr>
      <w:r>
        <w:rPr>
          <w:rFonts w:hint="eastAsia" w:ascii="宋体" w:hAnsi="宋体" w:eastAsia="宋体"/>
          <w:sz w:val="24"/>
          <w:szCs w:val="24"/>
          <w:lang w:val="en-US" w:eastAsia="zh-CN"/>
        </w:rPr>
        <w:t>2024年</w:t>
      </w:r>
      <w:r>
        <w:rPr>
          <w:rFonts w:hint="eastAsia" w:ascii="宋体" w:hAnsi="宋体" w:eastAsia="宋体"/>
          <w:sz w:val="24"/>
          <w:szCs w:val="24"/>
        </w:rPr>
        <w:t>7月17日，江西财经大学社会组织管理香港高级研修班于</w:t>
      </w:r>
    </w:p>
    <w:p w14:paraId="2B849DE5">
      <w:pPr>
        <w:spacing w:line="360" w:lineRule="auto"/>
        <w:rPr>
          <w:rFonts w:hint="eastAsia" w:ascii="宋体" w:hAnsi="宋体" w:eastAsia="宋体"/>
          <w:sz w:val="24"/>
          <w:szCs w:val="24"/>
        </w:rPr>
      </w:pPr>
      <w:r>
        <w:rPr>
          <w:rFonts w:hint="eastAsia" w:ascii="宋体" w:hAnsi="宋体" w:eastAsia="宋体"/>
          <w:sz w:val="24"/>
          <w:szCs w:val="24"/>
        </w:rPr>
        <w:t>8：30从酒店出发前往中环中心，</w:t>
      </w:r>
      <w:r>
        <w:rPr>
          <w:rFonts w:hint="eastAsia" w:ascii="宋体" w:hAnsi="宋体" w:eastAsia="宋体"/>
          <w:sz w:val="24"/>
          <w:szCs w:val="24"/>
          <w:lang w:eastAsia="zh-CN"/>
        </w:rPr>
        <w:t>开始</w:t>
      </w:r>
      <w:r>
        <w:rPr>
          <w:rFonts w:hint="eastAsia" w:ascii="宋体" w:hAnsi="宋体" w:eastAsia="宋体"/>
          <w:sz w:val="24"/>
          <w:szCs w:val="24"/>
        </w:rPr>
        <w:t>第三日的考察学习。</w:t>
      </w:r>
    </w:p>
    <w:p w14:paraId="38EF7E2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上午9点整，香港太平绅士邓仁强先生就“慈善机构创新发展及公益项目运营管理”这一主题进行</w:t>
      </w:r>
      <w:r>
        <w:rPr>
          <w:rFonts w:hint="eastAsia" w:ascii="宋体" w:hAnsi="宋体" w:eastAsia="宋体"/>
          <w:sz w:val="24"/>
          <w:szCs w:val="24"/>
          <w:lang w:eastAsia="zh-CN"/>
        </w:rPr>
        <w:t>了</w:t>
      </w:r>
      <w:r>
        <w:rPr>
          <w:rFonts w:hint="eastAsia" w:ascii="宋体" w:hAnsi="宋体" w:eastAsia="宋体"/>
          <w:sz w:val="24"/>
          <w:szCs w:val="24"/>
        </w:rPr>
        <w:t>培训讲座。在第一板块慈善机构的运营介绍中，邓老师通过流程图、模式图等图表，向</w:t>
      </w:r>
      <w:r>
        <w:rPr>
          <w:rFonts w:hint="eastAsia" w:ascii="宋体" w:hAnsi="宋体" w:eastAsia="宋体"/>
          <w:sz w:val="24"/>
          <w:szCs w:val="24"/>
          <w:lang w:eastAsia="zh-CN"/>
        </w:rPr>
        <w:t>研修班学员</w:t>
      </w:r>
      <w:r>
        <w:rPr>
          <w:rFonts w:hint="eastAsia" w:ascii="宋体" w:hAnsi="宋体" w:eastAsia="宋体"/>
          <w:sz w:val="24"/>
          <w:szCs w:val="24"/>
        </w:rPr>
        <w:t>深刻阐释了转化性发展（transformational development）的六原则、赋权的项目模式、项目路径和项目的周期管理等，帮助</w:t>
      </w:r>
      <w:r>
        <w:rPr>
          <w:rFonts w:hint="eastAsia" w:ascii="宋体" w:hAnsi="宋体" w:eastAsia="宋体"/>
          <w:sz w:val="24"/>
          <w:szCs w:val="24"/>
          <w:lang w:eastAsia="zh-CN"/>
        </w:rPr>
        <w:t>学员</w:t>
      </w:r>
      <w:r>
        <w:rPr>
          <w:rFonts w:hint="eastAsia" w:ascii="宋体" w:hAnsi="宋体" w:eastAsia="宋体"/>
          <w:sz w:val="24"/>
          <w:szCs w:val="24"/>
        </w:rPr>
        <w:t>们了解慈善机构在落实社会工作实务时的具体操作手段和注意事项。第二板块，邓老师以“数字化转型”这一热点作为关键词，就其三重转型（心智与机器对话、产品向平台蜕变、核心向众包延伸）和变革的七大动力对慈善机构的创新发展作出讨论，并辅以“OIOS”（Our Impact Our Story）和儿童多维脆弱性数据地图集两个案例进行讲解，最后创新性地提出尽管老龄化</w:t>
      </w:r>
      <w:r>
        <w:rPr>
          <w:rFonts w:hint="eastAsia" w:ascii="宋体" w:hAnsi="宋体" w:eastAsia="宋体"/>
          <w:sz w:val="24"/>
          <w:szCs w:val="24"/>
          <w:lang w:eastAsia="zh-CN"/>
        </w:rPr>
        <w:t>使得我</w:t>
      </w:r>
      <w:r>
        <w:rPr>
          <w:rFonts w:hint="eastAsia" w:ascii="宋体" w:hAnsi="宋体" w:eastAsia="宋体"/>
          <w:sz w:val="24"/>
          <w:szCs w:val="24"/>
        </w:rPr>
        <w:t>国人口红利逐渐下降，但只要数字化发展超过其红利下降速度，经济仍能得到较大提升。邓老师的讲座让</w:t>
      </w:r>
      <w:r>
        <w:rPr>
          <w:rFonts w:hint="eastAsia" w:ascii="宋体" w:hAnsi="宋体" w:eastAsia="宋体"/>
          <w:sz w:val="24"/>
          <w:szCs w:val="24"/>
          <w:lang w:eastAsia="zh-CN"/>
        </w:rPr>
        <w:t>学员</w:t>
      </w:r>
      <w:r>
        <w:rPr>
          <w:rFonts w:hint="eastAsia" w:ascii="宋体" w:hAnsi="宋体" w:eastAsia="宋体"/>
          <w:sz w:val="24"/>
          <w:szCs w:val="24"/>
        </w:rPr>
        <w:t>们对项目产品化、本土化的细节更为清晰，对处于政策更新窗口的政策边缘儿童群体问题的讨论也对</w:t>
      </w:r>
      <w:r>
        <w:rPr>
          <w:rFonts w:hint="eastAsia" w:ascii="宋体" w:hAnsi="宋体" w:eastAsia="宋体"/>
          <w:sz w:val="24"/>
          <w:szCs w:val="24"/>
          <w:lang w:eastAsia="zh-CN"/>
        </w:rPr>
        <w:t>学员</w:t>
      </w:r>
      <w:r>
        <w:rPr>
          <w:rFonts w:hint="eastAsia" w:ascii="宋体" w:hAnsi="宋体" w:eastAsia="宋体"/>
          <w:sz w:val="24"/>
          <w:szCs w:val="24"/>
        </w:rPr>
        <w:t>们有很大的启发性。</w:t>
      </w:r>
    </w:p>
    <w:p w14:paraId="4B1597C4">
      <w:pPr>
        <w:ind w:firstLine="420"/>
        <w:rPr>
          <w:rFonts w:hint="eastAsia"/>
        </w:rPr>
      </w:pPr>
    </w:p>
    <w:p w14:paraId="56D1D4D6">
      <w:pPr>
        <w:jc w:val="center"/>
        <w:rPr>
          <w:rFonts w:hint="eastAsia" w:eastAsiaTheme="minorEastAsia"/>
          <w:lang w:eastAsia="zh-CN"/>
        </w:rPr>
      </w:pPr>
      <w:r>
        <w:rPr>
          <w:rFonts w:hint="eastAsia" w:eastAsiaTheme="minorEastAsia"/>
          <w:lang w:eastAsia="zh-CN"/>
        </w:rPr>
        <w:drawing>
          <wp:inline distT="0" distB="0" distL="114300" distR="114300">
            <wp:extent cx="5078095" cy="4086225"/>
            <wp:effectExtent l="0" t="0" r="8255" b="0"/>
            <wp:docPr id="1" name="图片 1"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fault"/>
                    <pic:cNvPicPr>
                      <a:picLocks noChangeAspect="1"/>
                    </pic:cNvPicPr>
                  </pic:nvPicPr>
                  <pic:blipFill>
                    <a:blip r:embed="rId4"/>
                    <a:stretch>
                      <a:fillRect/>
                    </a:stretch>
                  </pic:blipFill>
                  <pic:spPr>
                    <a:xfrm>
                      <a:off x="0" y="0"/>
                      <a:ext cx="5078095" cy="4086225"/>
                    </a:xfrm>
                    <a:prstGeom prst="rect">
                      <a:avLst/>
                    </a:prstGeom>
                  </pic:spPr>
                </pic:pic>
              </a:graphicData>
            </a:graphic>
          </wp:inline>
        </w:drawing>
      </w:r>
    </w:p>
    <w:p w14:paraId="6614C71C">
      <w:pPr>
        <w:jc w:val="center"/>
        <w:rPr>
          <w:rFonts w:hint="eastAsia"/>
          <w:lang w:val="en-US" w:eastAsia="zh-CN"/>
        </w:rPr>
      </w:pPr>
      <w:r>
        <w:rPr>
          <w:rFonts w:hint="eastAsia"/>
          <w:lang w:val="en-US" w:eastAsia="zh-CN"/>
        </w:rPr>
        <w:t xml:space="preserve">图1 </w:t>
      </w:r>
      <w:r>
        <w:rPr>
          <w:rFonts w:hint="eastAsia"/>
        </w:rPr>
        <w:t>邓仁强</w:t>
      </w:r>
      <w:r>
        <w:rPr>
          <w:rFonts w:hint="eastAsia"/>
          <w:lang w:val="en-US" w:eastAsia="zh-CN"/>
        </w:rPr>
        <w:t>老师主持讲座</w:t>
      </w:r>
    </w:p>
    <w:p w14:paraId="2F5AF3ED">
      <w:pPr>
        <w:jc w:val="center"/>
        <w:rPr>
          <w:rFonts w:hint="default"/>
          <w:lang w:val="en-US" w:eastAsia="zh-CN"/>
        </w:rPr>
      </w:pPr>
    </w:p>
    <w:p w14:paraId="3A4306D9">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随后，</w:t>
      </w:r>
      <w:r>
        <w:rPr>
          <w:rFonts w:hint="eastAsia" w:ascii="宋体" w:hAnsi="宋体" w:eastAsia="宋体"/>
          <w:sz w:val="24"/>
          <w:szCs w:val="24"/>
          <w:lang w:eastAsia="zh-CN"/>
        </w:rPr>
        <w:t>研修班学员</w:t>
      </w:r>
      <w:r>
        <w:rPr>
          <w:rFonts w:hint="eastAsia" w:ascii="宋体" w:hAnsi="宋体" w:eastAsia="宋体"/>
          <w:sz w:val="24"/>
          <w:szCs w:val="24"/>
          <w:lang w:val="en-US" w:eastAsia="zh-CN"/>
        </w:rPr>
        <w:t>来到香港历史文化地标——大馆进行参观。这座经过活化改造的古老监狱建筑群，现已变身为集历史、文化、艺术于一体的文化街区。</w:t>
      </w:r>
      <w:r>
        <w:rPr>
          <w:rFonts w:hint="eastAsia" w:ascii="宋体" w:hAnsi="宋体" w:eastAsia="宋体"/>
          <w:sz w:val="24"/>
          <w:szCs w:val="24"/>
          <w:lang w:eastAsia="zh-CN"/>
        </w:rPr>
        <w:t>学员</w:t>
      </w:r>
      <w:r>
        <w:rPr>
          <w:rFonts w:hint="eastAsia" w:ascii="宋体" w:hAnsi="宋体" w:eastAsia="宋体"/>
          <w:sz w:val="24"/>
          <w:szCs w:val="24"/>
          <w:lang w:val="en-US" w:eastAsia="zh-CN"/>
        </w:rPr>
        <w:t>们参观了监狱的各个区域，了解了香港法治的历史变迁，对香港丰富的文化内涵有了更为深刻的认识。</w:t>
      </w:r>
    </w:p>
    <w:p w14:paraId="55008305">
      <w:pPr>
        <w:ind w:firstLine="420"/>
        <w:rPr>
          <w:rFonts w:hint="eastAsia"/>
          <w:lang w:val="en-US" w:eastAsia="zh-CN"/>
        </w:rPr>
      </w:pPr>
    </w:p>
    <w:p w14:paraId="14378D39">
      <w:pPr>
        <w:spacing w:line="360" w:lineRule="auto"/>
        <w:ind w:firstLine="420" w:firstLineChars="200"/>
        <w:rPr>
          <w:rFonts w:hint="eastAsia"/>
          <w:lang w:val="en-US" w:eastAsia="zh-CN"/>
        </w:rPr>
      </w:pPr>
      <w:r>
        <w:rPr>
          <w:rFonts w:hint="eastAsia"/>
          <w:lang w:val="en-US" w:eastAsia="zh-CN"/>
        </w:rPr>
        <w:drawing>
          <wp:inline distT="0" distB="0" distL="114300" distR="114300">
            <wp:extent cx="4873625" cy="3655060"/>
            <wp:effectExtent l="0" t="0" r="3175" b="2540"/>
            <wp:docPr id="2" name="图片 2" descr="defau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fault (4)"/>
                    <pic:cNvPicPr>
                      <a:picLocks noChangeAspect="1"/>
                    </pic:cNvPicPr>
                  </pic:nvPicPr>
                  <pic:blipFill>
                    <a:blip r:embed="rId5"/>
                    <a:stretch>
                      <a:fillRect/>
                    </a:stretch>
                  </pic:blipFill>
                  <pic:spPr>
                    <a:xfrm>
                      <a:off x="0" y="0"/>
                      <a:ext cx="4873625" cy="3655060"/>
                    </a:xfrm>
                    <a:prstGeom prst="rect">
                      <a:avLst/>
                    </a:prstGeom>
                  </pic:spPr>
                </pic:pic>
              </a:graphicData>
            </a:graphic>
          </wp:inline>
        </w:drawing>
      </w:r>
    </w:p>
    <w:p w14:paraId="0DF5925E">
      <w:pPr>
        <w:jc w:val="center"/>
        <w:rPr>
          <w:rFonts w:hint="default" w:eastAsiaTheme="minorEastAsia"/>
          <w:lang w:val="en-US" w:eastAsia="zh-CN"/>
        </w:rPr>
      </w:pPr>
      <w:r>
        <w:rPr>
          <w:rFonts w:hint="eastAsia"/>
          <w:lang w:val="en-US" w:eastAsia="zh-CN"/>
        </w:rPr>
        <w:t>图2 学员参观香港大馆</w:t>
      </w:r>
    </w:p>
    <w:p w14:paraId="2F92E9A2">
      <w:pPr>
        <w:rPr>
          <w:rFonts w:hint="eastAsia"/>
          <w:lang w:val="en-US" w:eastAsia="zh-CN"/>
        </w:rPr>
      </w:pPr>
    </w:p>
    <w:p w14:paraId="5D998760">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下午14点30分，研学团成员前往香港青年协会领袖学院进行探访交流。学院坐落于香港前粉岭裁判法院，保留了原有建筑的典雅风格，同时也活化成多用会议室与展览厅。学员们参观了囚车停放处、前拘留室及第一法庭旧址，见证了历史建筑活化利用的现代意义，加深了对香港法律历史和法治精神的理解。</w:t>
      </w:r>
    </w:p>
    <w:p w14:paraId="38B7318E">
      <w:pPr>
        <w:jc w:val="both"/>
        <w:rPr>
          <w:rFonts w:hint="eastAsia"/>
          <w:lang w:val="en-US" w:eastAsia="zh-CN"/>
        </w:rPr>
      </w:pPr>
    </w:p>
    <w:p w14:paraId="61632659">
      <w:pPr>
        <w:jc w:val="center"/>
        <w:rPr>
          <w:rFonts w:hint="eastAsia"/>
          <w:lang w:val="en-US" w:eastAsia="zh-CN"/>
        </w:rPr>
      </w:pPr>
      <w:r>
        <w:rPr>
          <w:rFonts w:hint="eastAsia"/>
          <w:lang w:val="en-US" w:eastAsia="zh-CN"/>
        </w:rPr>
        <w:drawing>
          <wp:inline distT="0" distB="0" distL="114300" distR="114300">
            <wp:extent cx="4545965" cy="3359150"/>
            <wp:effectExtent l="0" t="0" r="6985" b="3175"/>
            <wp:docPr id="3" name="图片 3" descr="defau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fault (3)"/>
                    <pic:cNvPicPr>
                      <a:picLocks noChangeAspect="1"/>
                    </pic:cNvPicPr>
                  </pic:nvPicPr>
                  <pic:blipFill>
                    <a:blip r:embed="rId6"/>
                    <a:stretch>
                      <a:fillRect/>
                    </a:stretch>
                  </pic:blipFill>
                  <pic:spPr>
                    <a:xfrm>
                      <a:off x="0" y="0"/>
                      <a:ext cx="4545965" cy="3359150"/>
                    </a:xfrm>
                    <a:prstGeom prst="rect">
                      <a:avLst/>
                    </a:prstGeom>
                  </pic:spPr>
                </pic:pic>
              </a:graphicData>
            </a:graphic>
          </wp:inline>
        </w:drawing>
      </w:r>
    </w:p>
    <w:p w14:paraId="587E9B4C">
      <w:pPr>
        <w:jc w:val="center"/>
        <w:rPr>
          <w:rFonts w:hint="eastAsia"/>
          <w:lang w:val="en-US" w:eastAsia="zh-CN"/>
        </w:rPr>
      </w:pPr>
      <w:r>
        <w:rPr>
          <w:rFonts w:hint="eastAsia"/>
          <w:lang w:val="en-US" w:eastAsia="zh-CN"/>
        </w:rPr>
        <w:t>图3 研学团成员参观前粉岭裁判法院</w:t>
      </w:r>
    </w:p>
    <w:p w14:paraId="0FEB5E61">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随后，香港青年协会领袖学院冼允彥先生向研修团学员详细介绍了香港青年协会的宗旨架构与发展近况。冼老师系统阐述了协会的第5个五年发展计划和12项核心服务，详细展示了“邻舍第一”“《香港200》领袖计划”“香港国际无伴奏合唱节”等焦点服务活动，从“动员参与国家盛事”“联系全球华裔青年”“推动女性领袖发展”“提供青年创业支援”等方面具体介绍了协会的运营项目，帮助学员们进一步了解香港青年协会的服务理念与服务方式。同时，还介绍了青年创研库的最新研究，总结概括了香港青年促进国家发展的正面议题指向，并从中心服务三个方面提出香港青年协会的未来展望。接着，青年部的Alvin老师补充阐述了青年交流项目的主要内容与推进概况，即通过举办青年交流计划拓宽青年视野、建立全球联系网络；Jenny老师针对香港青年大使计划进行详细介绍，通过驻守香港景点、参与旅游盛事、组建推广活动的服务计划启迪服务思维、推广友善风气，从而进一步增强青年的文化认同感与归属感。最后，香港青年协会领袖学院的领导向研修班领队洪泸敏老师赠送了学院的纪念品。本次实地学习激励着研修班学员积极践行法治精神，勇于担当青年责任，为构建更加和谐的社会贡献青春力量。</w:t>
      </w:r>
    </w:p>
    <w:p w14:paraId="5B499F1D">
      <w:pPr>
        <w:spacing w:line="360" w:lineRule="auto"/>
        <w:rPr>
          <w:rFonts w:hint="eastAsia" w:ascii="宋体" w:hAnsi="宋体" w:eastAsia="宋体"/>
          <w:sz w:val="24"/>
          <w:szCs w:val="24"/>
          <w:lang w:val="en-US" w:eastAsia="zh-CN"/>
        </w:rPr>
      </w:pPr>
    </w:p>
    <w:p w14:paraId="6E22F740">
      <w:pPr>
        <w:spacing w:line="360" w:lineRule="auto"/>
        <w:rPr>
          <w:rFonts w:hint="eastAsia" w:ascii="宋体" w:hAnsi="宋体" w:eastAsia="宋体"/>
          <w:sz w:val="24"/>
          <w:szCs w:val="24"/>
          <w:lang w:val="en-US" w:eastAsia="zh-CN"/>
        </w:rPr>
      </w:pPr>
    </w:p>
    <w:p w14:paraId="6790D24C">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drawing>
          <wp:anchor distT="0" distB="0" distL="114300" distR="114300" simplePos="0" relativeHeight="251659264" behindDoc="0" locked="0" layoutInCell="1" allowOverlap="1">
            <wp:simplePos x="0" y="0"/>
            <wp:positionH relativeFrom="column">
              <wp:posOffset>208915</wp:posOffset>
            </wp:positionH>
            <wp:positionV relativeFrom="paragraph">
              <wp:posOffset>-134620</wp:posOffset>
            </wp:positionV>
            <wp:extent cx="4810125" cy="3607435"/>
            <wp:effectExtent l="0" t="0" r="5715" b="4445"/>
            <wp:wrapNone/>
            <wp:docPr id="6" name="图片 6" descr="5697612c20a956344470e83c1f79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97612c20a956344470e83c1f798b7"/>
                    <pic:cNvPicPr>
                      <a:picLocks noChangeAspect="1"/>
                    </pic:cNvPicPr>
                  </pic:nvPicPr>
                  <pic:blipFill>
                    <a:blip r:embed="rId7"/>
                    <a:stretch>
                      <a:fillRect/>
                    </a:stretch>
                  </pic:blipFill>
                  <pic:spPr>
                    <a:xfrm>
                      <a:off x="0" y="0"/>
                      <a:ext cx="4810125" cy="3607435"/>
                    </a:xfrm>
                    <a:prstGeom prst="rect">
                      <a:avLst/>
                    </a:prstGeom>
                  </pic:spPr>
                </pic:pic>
              </a:graphicData>
            </a:graphic>
          </wp:anchor>
        </w:drawing>
      </w:r>
    </w:p>
    <w:p w14:paraId="11ED61DA">
      <w:pPr>
        <w:spacing w:line="360" w:lineRule="auto"/>
        <w:rPr>
          <w:rFonts w:hint="eastAsia" w:ascii="宋体" w:hAnsi="宋体" w:eastAsia="宋体"/>
          <w:sz w:val="24"/>
          <w:szCs w:val="24"/>
          <w:lang w:val="en-US" w:eastAsia="zh-CN"/>
        </w:rPr>
      </w:pPr>
    </w:p>
    <w:p w14:paraId="3C1AB35B">
      <w:pPr>
        <w:spacing w:line="360" w:lineRule="auto"/>
        <w:rPr>
          <w:rFonts w:hint="eastAsia" w:ascii="宋体" w:hAnsi="宋体" w:eastAsia="宋体"/>
          <w:sz w:val="24"/>
          <w:szCs w:val="24"/>
          <w:lang w:val="en-US" w:eastAsia="zh-CN"/>
        </w:rPr>
      </w:pPr>
    </w:p>
    <w:p w14:paraId="411649E1">
      <w:pPr>
        <w:spacing w:line="360" w:lineRule="auto"/>
        <w:rPr>
          <w:rFonts w:hint="eastAsia" w:ascii="宋体" w:hAnsi="宋体" w:eastAsia="宋体"/>
          <w:sz w:val="24"/>
          <w:szCs w:val="24"/>
          <w:lang w:val="en-US" w:eastAsia="zh-CN"/>
        </w:rPr>
      </w:pPr>
    </w:p>
    <w:p w14:paraId="00ECD718">
      <w:pPr>
        <w:rPr>
          <w:rFonts w:hint="eastAsia"/>
          <w:highlight w:val="none"/>
          <w:lang w:val="en-US" w:eastAsia="zh-CN"/>
        </w:rPr>
      </w:pPr>
    </w:p>
    <w:p w14:paraId="123A1270">
      <w:pPr>
        <w:rPr>
          <w:rFonts w:hint="eastAsia"/>
          <w:highlight w:val="none"/>
          <w:lang w:val="en-US" w:eastAsia="zh-CN"/>
        </w:rPr>
      </w:pPr>
    </w:p>
    <w:p w14:paraId="079D652D">
      <w:pPr>
        <w:rPr>
          <w:rFonts w:hint="eastAsia"/>
          <w:highlight w:val="none"/>
          <w:lang w:val="en-US" w:eastAsia="zh-CN"/>
        </w:rPr>
      </w:pPr>
    </w:p>
    <w:p w14:paraId="305D9971">
      <w:pPr>
        <w:rPr>
          <w:rFonts w:hint="eastAsia"/>
          <w:highlight w:val="none"/>
          <w:lang w:val="en-US" w:eastAsia="zh-CN"/>
        </w:rPr>
      </w:pPr>
    </w:p>
    <w:p w14:paraId="35F441A4">
      <w:pPr>
        <w:rPr>
          <w:rFonts w:hint="eastAsia"/>
          <w:highlight w:val="none"/>
          <w:lang w:val="en-US" w:eastAsia="zh-CN"/>
        </w:rPr>
      </w:pPr>
    </w:p>
    <w:p w14:paraId="034F2C39">
      <w:pPr>
        <w:rPr>
          <w:rFonts w:hint="eastAsia"/>
          <w:highlight w:val="none"/>
          <w:lang w:val="en-US" w:eastAsia="zh-CN"/>
        </w:rPr>
      </w:pPr>
    </w:p>
    <w:p w14:paraId="62765265">
      <w:pPr>
        <w:rPr>
          <w:rFonts w:hint="eastAsia"/>
          <w:highlight w:val="none"/>
          <w:lang w:val="en-US" w:eastAsia="zh-CN"/>
        </w:rPr>
      </w:pPr>
    </w:p>
    <w:p w14:paraId="6851F6DC">
      <w:pPr>
        <w:rPr>
          <w:rFonts w:hint="eastAsia"/>
          <w:highlight w:val="none"/>
          <w:lang w:val="en-US" w:eastAsia="zh-CN"/>
        </w:rPr>
      </w:pPr>
    </w:p>
    <w:p w14:paraId="6A9028C0">
      <w:pPr>
        <w:rPr>
          <w:rFonts w:hint="eastAsia"/>
          <w:highlight w:val="none"/>
          <w:lang w:val="en-US" w:eastAsia="zh-CN"/>
        </w:rPr>
      </w:pPr>
    </w:p>
    <w:p w14:paraId="0E3BC071">
      <w:pPr>
        <w:rPr>
          <w:rFonts w:hint="eastAsia"/>
          <w:highlight w:val="none"/>
          <w:lang w:val="en-US" w:eastAsia="zh-CN"/>
        </w:rPr>
      </w:pPr>
    </w:p>
    <w:p w14:paraId="586125DF">
      <w:pPr>
        <w:rPr>
          <w:rFonts w:hint="eastAsia"/>
          <w:highlight w:val="none"/>
          <w:lang w:val="en-US" w:eastAsia="zh-CN"/>
        </w:rPr>
      </w:pPr>
    </w:p>
    <w:p w14:paraId="39BD5E20">
      <w:pPr>
        <w:jc w:val="center"/>
        <w:rPr>
          <w:rFonts w:hint="eastAsia" w:eastAsiaTheme="minorEastAsia"/>
          <w:lang w:val="en-US" w:eastAsia="zh-CN"/>
        </w:rPr>
      </w:pPr>
    </w:p>
    <w:p w14:paraId="7A470C4C">
      <w:pPr>
        <w:jc w:val="center"/>
        <w:rPr>
          <w:rFonts w:hint="default" w:eastAsiaTheme="minorEastAsia"/>
          <w:lang w:val="en-US" w:eastAsia="zh-CN"/>
        </w:rPr>
      </w:pPr>
      <w:r>
        <w:rPr>
          <w:rFonts w:hint="eastAsia" w:eastAsiaTheme="minorEastAsia"/>
          <w:lang w:val="en-US" w:eastAsia="zh-CN"/>
        </w:rPr>
        <w:t>图4 香港青年协会领袖学院领导向</w:t>
      </w:r>
      <w:r>
        <w:rPr>
          <w:rFonts w:hint="eastAsia"/>
          <w:lang w:val="en-US" w:eastAsia="zh-CN"/>
        </w:rPr>
        <w:t>研习团</w:t>
      </w:r>
      <w:r>
        <w:rPr>
          <w:rFonts w:hint="eastAsia" w:eastAsiaTheme="minorEastAsia"/>
          <w:lang w:val="en-US" w:eastAsia="zh-CN"/>
        </w:rPr>
        <w:t>领队洪泸敏老师赠</w:t>
      </w:r>
      <w:r>
        <w:rPr>
          <w:rFonts w:hint="eastAsia"/>
          <w:lang w:val="en-US" w:eastAsia="zh-CN"/>
        </w:rPr>
        <w:t>旗</w:t>
      </w:r>
    </w:p>
    <w:p w14:paraId="4E2ED4DC">
      <w:pPr>
        <w:rPr>
          <w:rFonts w:hint="eastAsia"/>
          <w:highlight w:val="none"/>
          <w:lang w:val="en-US" w:eastAsia="zh-CN"/>
        </w:rPr>
      </w:pPr>
    </w:p>
    <w:p w14:paraId="2AECA906">
      <w:pPr>
        <w:jc w:val="center"/>
        <w:rPr>
          <w:rFonts w:hint="default"/>
          <w:highlight w:val="none"/>
          <w:lang w:val="en-US" w:eastAsia="zh-CN"/>
        </w:rPr>
      </w:pPr>
      <w:r>
        <w:rPr>
          <w:rFonts w:hint="default"/>
          <w:highlight w:val="none"/>
          <w:lang w:val="en-US" w:eastAsia="zh-CN"/>
        </w:rPr>
        <w:drawing>
          <wp:inline distT="0" distB="0" distL="114300" distR="114300">
            <wp:extent cx="4768850" cy="3810000"/>
            <wp:effectExtent l="0" t="0" r="3175" b="0"/>
            <wp:docPr id="4" name="图片 4" descr="defau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fault (2)"/>
                    <pic:cNvPicPr>
                      <a:picLocks noChangeAspect="1"/>
                    </pic:cNvPicPr>
                  </pic:nvPicPr>
                  <pic:blipFill>
                    <a:blip r:embed="rId8"/>
                    <a:stretch>
                      <a:fillRect/>
                    </a:stretch>
                  </pic:blipFill>
                  <pic:spPr>
                    <a:xfrm>
                      <a:off x="0" y="0"/>
                      <a:ext cx="4768850" cy="3810000"/>
                    </a:xfrm>
                    <a:prstGeom prst="rect">
                      <a:avLst/>
                    </a:prstGeom>
                  </pic:spPr>
                </pic:pic>
              </a:graphicData>
            </a:graphic>
          </wp:inline>
        </w:drawing>
      </w:r>
    </w:p>
    <w:p w14:paraId="569F2C20">
      <w:pPr>
        <w:jc w:val="center"/>
        <w:rPr>
          <w:rFonts w:hint="default" w:eastAsiaTheme="minorEastAsia"/>
          <w:lang w:val="en-US" w:eastAsia="zh-CN"/>
        </w:rPr>
      </w:pPr>
      <w:r>
        <w:rPr>
          <w:rFonts w:hint="eastAsia"/>
          <w:lang w:val="en-US" w:eastAsia="zh-CN"/>
        </w:rPr>
        <w:t>图5 研学团成员前往香港青年协会领袖学院探访交流</w:t>
      </w:r>
    </w:p>
    <w:p w14:paraId="0D67CC22">
      <w:pPr>
        <w:jc w:val="center"/>
        <w:rPr>
          <w:rFonts w:hint="default"/>
          <w:highlight w:val="none"/>
          <w:lang w:val="en-US" w:eastAsia="zh-CN"/>
        </w:rPr>
      </w:pPr>
    </w:p>
    <w:p w14:paraId="2558F16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完成香港青年协会领袖学院的机构探访后，研修班学员前往香港艺术馆进行参观，欣赏了青花瓷艺术装置、吴冠中《黑白灰》主题字画兼摄影艺术展、鼻烟壶历史演变展、《放怀》主题书法展、艺术装置展等，陶冶了、艺术情操，提升了审美情趣，也让学员们对香港的文化艺术发展有了更鲜明的认识。</w:t>
      </w:r>
    </w:p>
    <w:p w14:paraId="738683E6">
      <w:pPr>
        <w:ind w:firstLine="420" w:firstLineChars="0"/>
        <w:jc w:val="both"/>
        <w:rPr>
          <w:rFonts w:hint="default"/>
          <w:highlight w:val="none"/>
          <w:lang w:val="en-US" w:eastAsia="zh-CN"/>
        </w:rPr>
      </w:pPr>
      <w:r>
        <w:rPr>
          <w:rFonts w:hint="default"/>
          <w:highlight w:val="none"/>
          <w:lang w:val="en-US" w:eastAsia="zh-CN"/>
        </w:rPr>
        <w:drawing>
          <wp:inline distT="0" distB="0" distL="114300" distR="114300">
            <wp:extent cx="4580255" cy="3434080"/>
            <wp:effectExtent l="0" t="0" r="6985" b="10160"/>
            <wp:docPr id="5" name="图片 5" descr="071d87476de13f50bc1d114590e7757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71d87476de13f50bc1d114590e77572_"/>
                    <pic:cNvPicPr>
                      <a:picLocks noChangeAspect="1"/>
                    </pic:cNvPicPr>
                  </pic:nvPicPr>
                  <pic:blipFill>
                    <a:blip r:embed="rId9"/>
                    <a:stretch>
                      <a:fillRect/>
                    </a:stretch>
                  </pic:blipFill>
                  <pic:spPr>
                    <a:xfrm>
                      <a:off x="0" y="0"/>
                      <a:ext cx="4580255" cy="3434080"/>
                    </a:xfrm>
                    <a:prstGeom prst="rect">
                      <a:avLst/>
                    </a:prstGeom>
                  </pic:spPr>
                </pic:pic>
              </a:graphicData>
            </a:graphic>
          </wp:inline>
        </w:drawing>
      </w:r>
    </w:p>
    <w:p w14:paraId="0B1CC866">
      <w:pPr>
        <w:jc w:val="center"/>
        <w:rPr>
          <w:rFonts w:hint="default" w:eastAsiaTheme="minorEastAsia"/>
          <w:lang w:val="en-US" w:eastAsia="zh-CN"/>
        </w:rPr>
      </w:pPr>
      <w:r>
        <w:rPr>
          <w:rFonts w:hint="eastAsia"/>
          <w:lang w:val="en-US" w:eastAsia="zh-CN"/>
        </w:rPr>
        <w:t>图6 香港艺术馆吴冠中先生《黑白灰》展览</w:t>
      </w:r>
    </w:p>
    <w:p w14:paraId="2798FEE5">
      <w:pPr>
        <w:ind w:firstLine="420" w:firstLineChars="0"/>
        <w:jc w:val="both"/>
        <w:rPr>
          <w:rFonts w:hint="default"/>
          <w:highlight w:val="none"/>
          <w:lang w:val="en-US" w:eastAsia="zh-CN"/>
        </w:rPr>
      </w:pPr>
    </w:p>
    <w:p w14:paraId="7B7D6390">
      <w:pPr>
        <w:ind w:firstLine="420" w:firstLineChars="0"/>
        <w:jc w:val="both"/>
        <w:rPr>
          <w:rFonts w:hint="default"/>
          <w:highlight w:val="none"/>
          <w:lang w:val="en-US" w:eastAsia="zh-CN"/>
        </w:rPr>
      </w:pPr>
    </w:p>
    <w:p w14:paraId="1BDD8D2D">
      <w:pPr>
        <w:ind w:firstLine="420" w:firstLineChars="0"/>
        <w:jc w:val="both"/>
        <w:rPr>
          <w:rFonts w:hint="default"/>
          <w:highlight w:val="none"/>
          <w:lang w:val="en-US" w:eastAsia="zh-CN"/>
        </w:rPr>
      </w:pPr>
      <w:r>
        <w:rPr>
          <w:rFonts w:hint="default"/>
          <w:highlight w:val="none"/>
          <w:lang w:val="en-US" w:eastAsia="zh-CN"/>
        </w:rPr>
        <w:t>文字来源| 洪泸敏</w:t>
      </w:r>
      <w:r>
        <w:rPr>
          <w:rFonts w:hint="eastAsia"/>
          <w:highlight w:val="none"/>
          <w:lang w:val="en-US" w:eastAsia="zh-CN"/>
        </w:rPr>
        <w:t xml:space="preserve"> 李  进 蔡之贝</w:t>
      </w:r>
    </w:p>
    <w:p w14:paraId="32E22C88">
      <w:pPr>
        <w:ind w:firstLine="420" w:firstLineChars="0"/>
        <w:jc w:val="both"/>
        <w:rPr>
          <w:rFonts w:hint="default"/>
          <w:highlight w:val="none"/>
          <w:lang w:val="en-US" w:eastAsia="zh-CN"/>
        </w:rPr>
      </w:pPr>
      <w:r>
        <w:rPr>
          <w:rFonts w:hint="default"/>
          <w:highlight w:val="none"/>
          <w:lang w:val="en-US" w:eastAsia="zh-CN"/>
        </w:rPr>
        <w:t>图片来源| 洪泸敏</w:t>
      </w:r>
      <w:r>
        <w:rPr>
          <w:rFonts w:hint="eastAsia"/>
          <w:highlight w:val="none"/>
          <w:lang w:val="en-US" w:eastAsia="zh-CN"/>
        </w:rPr>
        <w:t xml:space="preserve"> 傅娅欣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ZmMxZGRiNGI2YTBiZjU2ZTQxYmFlOWEyZTJiMDMifQ=="/>
  </w:docVars>
  <w:rsids>
    <w:rsidRoot w:val="00C92D61"/>
    <w:rsid w:val="000E494D"/>
    <w:rsid w:val="00534D16"/>
    <w:rsid w:val="00661189"/>
    <w:rsid w:val="006A0F44"/>
    <w:rsid w:val="006E0839"/>
    <w:rsid w:val="007634C0"/>
    <w:rsid w:val="0095094E"/>
    <w:rsid w:val="00C92D61"/>
    <w:rsid w:val="00DE1BE7"/>
    <w:rsid w:val="10755ECA"/>
    <w:rsid w:val="18AA514F"/>
    <w:rsid w:val="1ABE7EAB"/>
    <w:rsid w:val="1C776474"/>
    <w:rsid w:val="23D855E2"/>
    <w:rsid w:val="313F2F37"/>
    <w:rsid w:val="35A3072E"/>
    <w:rsid w:val="426F517A"/>
    <w:rsid w:val="47020B56"/>
    <w:rsid w:val="62D430B2"/>
    <w:rsid w:val="64391F91"/>
    <w:rsid w:val="691478BE"/>
    <w:rsid w:val="6A944D70"/>
    <w:rsid w:val="7B8A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1476</Words>
  <Characters>1535</Characters>
  <Lines>3</Lines>
  <Paragraphs>1</Paragraphs>
  <TotalTime>0</TotalTime>
  <ScaleCrop>false</ScaleCrop>
  <LinksUpToDate>false</LinksUpToDate>
  <CharactersWithSpaces>1552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2024-07-21T02:54:00Z</dcterms:created>
  <dc:creator>MM</dc:creator>
  <cp:lastModifiedBy>旺旺仙贝</cp:lastModifiedBy>
  <dcterms:modified xsi:type="dcterms:W3CDTF">2024-07-27T02:11:05Z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ABDCC8AAB3814E78BF770FCFB193B162_13</vt:lpwstr>
  </property>
</Properties>
</file>